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A0" w:rsidRDefault="001D2D3D" w:rsidP="007F75A0">
      <w:pPr>
        <w:spacing w:after="0"/>
        <w:rPr>
          <w:rFonts w:ascii="Arial" w:hAnsi="Arial" w:cs="Arial"/>
          <w:b/>
          <w:color w:val="323E4F" w:themeColor="text2" w:themeShade="BF"/>
        </w:rPr>
      </w:pPr>
      <w:r>
        <w:rPr>
          <w:rFonts w:ascii="Arial" w:hAnsi="Arial" w:cs="Arial"/>
          <w:b/>
          <w:color w:val="323E4F" w:themeColor="text2" w:themeShade="BF"/>
        </w:rPr>
        <w:t xml:space="preserve">Award Category: </w:t>
      </w:r>
      <w:r w:rsidR="00221A97">
        <w:rPr>
          <w:rFonts w:ascii="Arial" w:hAnsi="Arial" w:cs="Arial"/>
          <w:b/>
          <w:color w:val="323E4F" w:themeColor="text2" w:themeShade="BF"/>
        </w:rPr>
        <w:t>Digital Assets Practice</w:t>
      </w:r>
      <w:r w:rsidR="007F75A0" w:rsidRPr="00AD6B3C">
        <w:rPr>
          <w:rFonts w:ascii="Arial" w:hAnsi="Arial" w:cs="Arial"/>
          <w:b/>
          <w:color w:val="323E4F" w:themeColor="text2" w:themeShade="BF"/>
        </w:rPr>
        <w:t xml:space="preserve"> of the Year*</w:t>
      </w:r>
    </w:p>
    <w:p w:rsidR="007F75A0" w:rsidRPr="00AD6B3C" w:rsidRDefault="007F75A0" w:rsidP="007F75A0">
      <w:pPr>
        <w:spacing w:after="0"/>
        <w:rPr>
          <w:rFonts w:ascii="Arial" w:hAnsi="Arial" w:cs="Arial"/>
          <w:b/>
          <w:color w:val="323E4F" w:themeColor="text2" w:themeShade="BF"/>
        </w:rPr>
      </w:pPr>
      <w:r w:rsidRPr="00AD6B3C">
        <w:rPr>
          <w:rFonts w:ascii="Arial" w:hAnsi="Arial" w:cs="Arial"/>
          <w:b/>
          <w:color w:val="323E4F" w:themeColor="text2" w:themeShade="BF"/>
        </w:rPr>
        <w:t>Nominee Organisation:</w:t>
      </w:r>
    </w:p>
    <w:p w:rsidR="007F75A0" w:rsidRPr="00AD6B3C" w:rsidRDefault="007F75A0" w:rsidP="007F75A0">
      <w:pPr>
        <w:spacing w:after="0"/>
        <w:rPr>
          <w:rFonts w:ascii="Arial" w:hAnsi="Arial" w:cs="Arial"/>
          <w:b/>
          <w:color w:val="323E4F" w:themeColor="text2" w:themeShade="BF"/>
        </w:rPr>
      </w:pPr>
      <w:r w:rsidRPr="00AD6B3C">
        <w:rPr>
          <w:rFonts w:ascii="Arial" w:hAnsi="Arial" w:cs="Arial"/>
          <w:b/>
          <w:color w:val="323E4F" w:themeColor="text2" w:themeShade="BF"/>
        </w:rPr>
        <w:t xml:space="preserve">Nominee Country: </w:t>
      </w:r>
    </w:p>
    <w:p w:rsidR="007F75A0" w:rsidRPr="00AD6B3C" w:rsidRDefault="007F75A0" w:rsidP="007F75A0">
      <w:pPr>
        <w:spacing w:after="0"/>
        <w:rPr>
          <w:rFonts w:ascii="Arial" w:hAnsi="Arial" w:cs="Arial"/>
          <w:color w:val="323E4F" w:themeColor="text2" w:themeShade="BF"/>
        </w:rPr>
      </w:pPr>
      <w:r w:rsidRPr="00AD6B3C">
        <w:rPr>
          <w:rFonts w:ascii="Arial" w:hAnsi="Arial" w:cs="Arial"/>
          <w:b/>
          <w:color w:val="323E4F" w:themeColor="text2" w:themeShade="BF"/>
        </w:rPr>
        <w:t xml:space="preserve">Word Count: </w:t>
      </w:r>
      <w:r w:rsidRPr="00AD6B3C">
        <w:rPr>
          <w:rFonts w:ascii="Arial" w:hAnsi="Arial" w:cs="Arial"/>
          <w:color w:val="323E4F" w:themeColor="text2" w:themeShade="BF"/>
        </w:rPr>
        <w:br/>
        <w:t>__________________________________________________________________________________</w:t>
      </w:r>
    </w:p>
    <w:p w:rsidR="00603DF7" w:rsidRPr="00603DF7" w:rsidRDefault="00603DF7" w:rsidP="00603DF7">
      <w:pPr>
        <w:rPr>
          <w:rFonts w:ascii="Arial" w:eastAsia="Calibri" w:hAnsi="Arial" w:cs="Arial"/>
          <w:sz w:val="18"/>
          <w:szCs w:val="18"/>
        </w:rPr>
      </w:pPr>
      <w:r w:rsidRPr="00603DF7">
        <w:rPr>
          <w:rFonts w:ascii="Arial" w:eastAsia="Calibri" w:hAnsi="Arial" w:cs="Arial"/>
          <w:sz w:val="18"/>
          <w:szCs w:val="18"/>
        </w:rPr>
        <w:t>The Digital Assets Practice of the Year award recognises a practice (which could be a sole practitioner, a discrete advisory practice within a firm, an initiative within a firm or a dedicated advisory firm/team) or individual that focuses on navigating the complex issues that confront families regarding digital assets/their digital estate.</w:t>
      </w:r>
    </w:p>
    <w:p w:rsidR="00603DF7" w:rsidRDefault="00603DF7" w:rsidP="00603DF7">
      <w:pPr>
        <w:rPr>
          <w:rFonts w:ascii="Arial" w:eastAsia="Calibri" w:hAnsi="Arial" w:cs="Arial"/>
          <w:sz w:val="18"/>
          <w:szCs w:val="18"/>
        </w:rPr>
      </w:pPr>
      <w:r w:rsidRPr="00603DF7">
        <w:rPr>
          <w:rFonts w:ascii="Arial" w:eastAsia="Calibri" w:hAnsi="Arial" w:cs="Arial"/>
          <w:sz w:val="18"/>
          <w:szCs w:val="18"/>
        </w:rPr>
        <w:t>The judges are looking for solid examples of comprehensive digital-asset custodian services, and/or excellence in innovation and development of digital assets advice for clients. They are wanting to see evidence of how the knowledge, skills and advice you provided clients was accurate, relevant, timely and valuable, enabling the client to protect and manage the use and access of their digital assets.</w:t>
      </w:r>
    </w:p>
    <w:p w:rsidR="00701364" w:rsidRDefault="007F75A0" w:rsidP="007F75A0">
      <w:pPr>
        <w:rPr>
          <w:rFonts w:ascii="Arial" w:eastAsia="Calibri" w:hAnsi="Arial" w:cs="Arial"/>
          <w:b/>
          <w:sz w:val="18"/>
          <w:szCs w:val="18"/>
        </w:rPr>
      </w:pPr>
      <w:r w:rsidRPr="00AD6B3C">
        <w:rPr>
          <w:rFonts w:ascii="Arial" w:eastAsia="Calibri" w:hAnsi="Arial" w:cs="Arial"/>
          <w:sz w:val="18"/>
          <w:szCs w:val="18"/>
        </w:rPr>
        <w:t>*Please note all entries will be judged using the criteria stated below with each point having an equal weighting of 2</w:t>
      </w:r>
      <w:r w:rsidR="00603DF7">
        <w:rPr>
          <w:rFonts w:ascii="Arial" w:eastAsia="Calibri" w:hAnsi="Arial" w:cs="Arial"/>
          <w:sz w:val="18"/>
          <w:szCs w:val="18"/>
        </w:rPr>
        <w:t>5</w:t>
      </w:r>
      <w:r w:rsidRPr="00AD6B3C">
        <w:rPr>
          <w:rFonts w:ascii="Arial" w:eastAsia="Calibri" w:hAnsi="Arial" w:cs="Arial"/>
          <w:sz w:val="18"/>
          <w:szCs w:val="18"/>
        </w:rPr>
        <w:t xml:space="preserve"> per cent, so entrants must cover all points and note that the awards are intended to highlight those that have achieved particula</w:t>
      </w:r>
      <w:r w:rsidR="00EA395B">
        <w:rPr>
          <w:rFonts w:ascii="Arial" w:eastAsia="Calibri" w:hAnsi="Arial" w:cs="Arial"/>
          <w:sz w:val="18"/>
          <w:szCs w:val="18"/>
        </w:rPr>
        <w:t>r success over the past year (15</w:t>
      </w:r>
      <w:bookmarkStart w:id="0" w:name="_GoBack"/>
      <w:bookmarkEnd w:id="0"/>
      <w:r w:rsidRPr="00AD6B3C">
        <w:rPr>
          <w:rFonts w:ascii="Arial" w:eastAsia="Calibri" w:hAnsi="Arial" w:cs="Arial"/>
          <w:sz w:val="18"/>
          <w:szCs w:val="18"/>
        </w:rPr>
        <w:t xml:space="preserve"> April 202</w:t>
      </w:r>
      <w:r w:rsidR="00701364">
        <w:rPr>
          <w:rFonts w:ascii="Arial" w:eastAsia="Calibri" w:hAnsi="Arial" w:cs="Arial"/>
          <w:sz w:val="18"/>
          <w:szCs w:val="18"/>
        </w:rPr>
        <w:t>2</w:t>
      </w:r>
      <w:r w:rsidRPr="00AD6B3C">
        <w:rPr>
          <w:rFonts w:ascii="Arial" w:eastAsia="Calibri" w:hAnsi="Arial" w:cs="Arial"/>
          <w:sz w:val="18"/>
          <w:szCs w:val="18"/>
        </w:rPr>
        <w:t xml:space="preserve"> – 14 April 202</w:t>
      </w:r>
      <w:r w:rsidR="00701364">
        <w:rPr>
          <w:rFonts w:ascii="Arial" w:eastAsia="Calibri" w:hAnsi="Arial" w:cs="Arial"/>
          <w:sz w:val="18"/>
          <w:szCs w:val="18"/>
        </w:rPr>
        <w:t>3</w:t>
      </w:r>
      <w:r w:rsidRPr="00AD6B3C">
        <w:rPr>
          <w:rFonts w:ascii="Arial" w:eastAsia="Calibri" w:hAnsi="Arial" w:cs="Arial"/>
          <w:sz w:val="18"/>
          <w:szCs w:val="18"/>
        </w:rPr>
        <w:t xml:space="preserve">). All text within the document including any references and appendices will be included in the 1100 word count. </w:t>
      </w:r>
      <w:r w:rsidRPr="00AD6B3C">
        <w:rPr>
          <w:rFonts w:ascii="Arial" w:eastAsia="Calibri" w:hAnsi="Arial" w:cs="Arial"/>
          <w:b/>
          <w:sz w:val="18"/>
          <w:szCs w:val="18"/>
        </w:rPr>
        <w:t>As of 2021, URL links are not permitted within the submission.</w:t>
      </w:r>
    </w:p>
    <w:p w:rsidR="00701364" w:rsidRPr="00701364" w:rsidRDefault="00701364" w:rsidP="007F75A0">
      <w:pPr>
        <w:rPr>
          <w:rFonts w:ascii="Arial" w:eastAsia="Calibri" w:hAnsi="Arial" w:cs="Arial"/>
          <w:b/>
          <w:sz w:val="18"/>
          <w:szCs w:val="18"/>
        </w:rPr>
      </w:pPr>
    </w:p>
    <w:p w:rsidR="00603DF7" w:rsidRPr="00603DF7" w:rsidRDefault="00603DF7" w:rsidP="00603DF7">
      <w:pPr>
        <w:pStyle w:val="ListParagraph"/>
        <w:numPr>
          <w:ilvl w:val="0"/>
          <w:numId w:val="2"/>
        </w:numPr>
        <w:rPr>
          <w:rFonts w:ascii="Arial" w:hAnsi="Arial" w:cs="Arial"/>
          <w:noProof/>
          <w:lang w:eastAsia="en-GB"/>
        </w:rPr>
      </w:pPr>
      <w:r w:rsidRPr="00603DF7">
        <w:rPr>
          <w:rFonts w:ascii="Arial" w:hAnsi="Arial" w:cs="Arial"/>
          <w:noProof/>
          <w:lang w:eastAsia="en-GB"/>
        </w:rPr>
        <w:t>Demonstrate excellence in client service in relation to their digital assets.</w:t>
      </w:r>
    </w:p>
    <w:p w:rsidR="00603DF7" w:rsidRDefault="00603DF7" w:rsidP="00603DF7">
      <w:pPr>
        <w:rPr>
          <w:rFonts w:ascii="Arial" w:hAnsi="Arial" w:cs="Arial"/>
          <w:noProof/>
          <w:lang w:eastAsia="en-GB"/>
        </w:rPr>
      </w:pPr>
    </w:p>
    <w:p w:rsidR="00603DF7" w:rsidRDefault="00603DF7" w:rsidP="00603DF7">
      <w:pPr>
        <w:rPr>
          <w:rFonts w:ascii="Arial" w:hAnsi="Arial" w:cs="Arial"/>
          <w:noProof/>
          <w:lang w:eastAsia="en-GB"/>
        </w:rPr>
      </w:pPr>
    </w:p>
    <w:p w:rsidR="00603DF7" w:rsidRDefault="00603DF7" w:rsidP="00603DF7">
      <w:pPr>
        <w:rPr>
          <w:rFonts w:ascii="Arial" w:hAnsi="Arial" w:cs="Arial"/>
          <w:noProof/>
          <w:lang w:eastAsia="en-GB"/>
        </w:rPr>
      </w:pPr>
    </w:p>
    <w:p w:rsidR="00603DF7" w:rsidRPr="00603DF7" w:rsidRDefault="00603DF7" w:rsidP="00603DF7">
      <w:pPr>
        <w:rPr>
          <w:rFonts w:ascii="Arial" w:hAnsi="Arial" w:cs="Arial"/>
          <w:noProof/>
          <w:lang w:eastAsia="en-GB"/>
        </w:rPr>
      </w:pPr>
    </w:p>
    <w:p w:rsidR="00603DF7" w:rsidRPr="00603DF7" w:rsidRDefault="00603DF7" w:rsidP="00603DF7">
      <w:pPr>
        <w:pStyle w:val="ListParagraph"/>
        <w:numPr>
          <w:ilvl w:val="0"/>
          <w:numId w:val="2"/>
        </w:numPr>
        <w:rPr>
          <w:rFonts w:ascii="Arial" w:hAnsi="Arial" w:cs="Arial"/>
          <w:noProof/>
          <w:lang w:eastAsia="en-GB"/>
        </w:rPr>
      </w:pPr>
      <w:r w:rsidRPr="00603DF7">
        <w:rPr>
          <w:rFonts w:ascii="Arial" w:hAnsi="Arial" w:cs="Arial"/>
          <w:noProof/>
          <w:lang w:eastAsia="en-GB"/>
        </w:rPr>
        <w:t>Provide specific examples of key cases (no more than three) that exemplify those handled over the relevant period and how the client benefitted.</w:t>
      </w:r>
    </w:p>
    <w:p w:rsidR="00603DF7" w:rsidRDefault="00603DF7" w:rsidP="00603DF7">
      <w:pPr>
        <w:rPr>
          <w:rFonts w:ascii="Arial" w:hAnsi="Arial" w:cs="Arial"/>
          <w:noProof/>
          <w:lang w:eastAsia="en-GB"/>
        </w:rPr>
      </w:pPr>
    </w:p>
    <w:p w:rsidR="00603DF7" w:rsidRDefault="00603DF7" w:rsidP="00603DF7">
      <w:pPr>
        <w:rPr>
          <w:rFonts w:ascii="Arial" w:hAnsi="Arial" w:cs="Arial"/>
          <w:noProof/>
          <w:lang w:eastAsia="en-GB"/>
        </w:rPr>
      </w:pPr>
    </w:p>
    <w:p w:rsidR="00603DF7" w:rsidRDefault="00603DF7" w:rsidP="00603DF7">
      <w:pPr>
        <w:rPr>
          <w:rFonts w:ascii="Arial" w:hAnsi="Arial" w:cs="Arial"/>
          <w:noProof/>
          <w:lang w:eastAsia="en-GB"/>
        </w:rPr>
      </w:pPr>
    </w:p>
    <w:p w:rsidR="00603DF7" w:rsidRPr="00603DF7" w:rsidRDefault="00603DF7" w:rsidP="00603DF7">
      <w:pPr>
        <w:rPr>
          <w:rFonts w:ascii="Arial" w:hAnsi="Arial" w:cs="Arial"/>
          <w:noProof/>
          <w:lang w:eastAsia="en-GB"/>
        </w:rPr>
      </w:pPr>
    </w:p>
    <w:p w:rsidR="00603DF7" w:rsidRPr="00603DF7" w:rsidRDefault="00603DF7" w:rsidP="00603DF7">
      <w:pPr>
        <w:pStyle w:val="ListParagraph"/>
        <w:numPr>
          <w:ilvl w:val="0"/>
          <w:numId w:val="2"/>
        </w:numPr>
        <w:rPr>
          <w:rFonts w:ascii="Arial" w:hAnsi="Arial" w:cs="Arial"/>
          <w:noProof/>
          <w:lang w:eastAsia="en-GB"/>
        </w:rPr>
      </w:pPr>
      <w:r w:rsidRPr="00603DF7">
        <w:rPr>
          <w:rFonts w:ascii="Arial" w:hAnsi="Arial" w:cs="Arial"/>
          <w:noProof/>
          <w:lang w:eastAsia="en-GB"/>
        </w:rPr>
        <w:t>Provide examples of innovation, infrastructure and/or adoption, use of, or development of, technology used to assist the business or your clients in relation to digital assets.</w:t>
      </w:r>
    </w:p>
    <w:p w:rsidR="00603DF7" w:rsidRDefault="00603DF7" w:rsidP="00603DF7">
      <w:pPr>
        <w:rPr>
          <w:rFonts w:ascii="Arial" w:hAnsi="Arial" w:cs="Arial"/>
          <w:noProof/>
          <w:lang w:eastAsia="en-GB"/>
        </w:rPr>
      </w:pPr>
    </w:p>
    <w:p w:rsidR="00603DF7" w:rsidRDefault="00603DF7" w:rsidP="00603DF7">
      <w:pPr>
        <w:rPr>
          <w:rFonts w:ascii="Arial" w:hAnsi="Arial" w:cs="Arial"/>
          <w:noProof/>
          <w:lang w:eastAsia="en-GB"/>
        </w:rPr>
      </w:pPr>
    </w:p>
    <w:p w:rsidR="00603DF7" w:rsidRDefault="00603DF7" w:rsidP="00603DF7">
      <w:pPr>
        <w:rPr>
          <w:rFonts w:ascii="Arial" w:hAnsi="Arial" w:cs="Arial"/>
          <w:noProof/>
          <w:lang w:eastAsia="en-GB"/>
        </w:rPr>
      </w:pPr>
    </w:p>
    <w:p w:rsidR="00603DF7" w:rsidRPr="00603DF7" w:rsidRDefault="00603DF7" w:rsidP="00603DF7">
      <w:pPr>
        <w:rPr>
          <w:rFonts w:ascii="Arial" w:hAnsi="Arial" w:cs="Arial"/>
          <w:noProof/>
          <w:lang w:eastAsia="en-GB"/>
        </w:rPr>
      </w:pPr>
    </w:p>
    <w:p w:rsidR="00446D52" w:rsidRPr="00242AC4" w:rsidRDefault="00603DF7" w:rsidP="00242AC4">
      <w:pPr>
        <w:pStyle w:val="ListParagraph"/>
        <w:numPr>
          <w:ilvl w:val="0"/>
          <w:numId w:val="2"/>
        </w:numPr>
        <w:rPr>
          <w:rFonts w:ascii="Arial" w:hAnsi="Arial" w:cs="Arial"/>
          <w:noProof/>
          <w:lang w:eastAsia="en-GB"/>
        </w:rPr>
      </w:pPr>
      <w:r w:rsidRPr="00242AC4">
        <w:rPr>
          <w:rFonts w:ascii="Arial" w:hAnsi="Arial" w:cs="Arial"/>
          <w:noProof/>
          <w:lang w:eastAsia="en-GB"/>
        </w:rPr>
        <w:t>Demonstrate how the practice contributed to the advancement of digital assets best practice, supporting development of the digital assets ecosystem and/or championing others to develop their skills and knowledge in the digital assets context. For example, through internal staff briefings, the development of industry best practice, standards and guidelines, participation in industry forums, the delivery of lectures or papers or technical articles on the topic, raising public awareness or informing policy and regulation.</w:t>
      </w:r>
    </w:p>
    <w:p w:rsidR="00242AC4" w:rsidRPr="00242AC4" w:rsidRDefault="00242AC4" w:rsidP="00242AC4">
      <w:pPr>
        <w:rPr>
          <w:rFonts w:ascii="Arial" w:eastAsia="Calibri" w:hAnsi="Arial" w:cs="Arial"/>
        </w:rPr>
      </w:pPr>
    </w:p>
    <w:p w:rsidR="00446D52" w:rsidRPr="00AD6B3C" w:rsidRDefault="00446D52" w:rsidP="00446D52">
      <w:pPr>
        <w:contextualSpacing/>
        <w:rPr>
          <w:rFonts w:ascii="Arial" w:eastAsia="Calibri" w:hAnsi="Arial" w:cs="Arial"/>
        </w:rPr>
      </w:pPr>
    </w:p>
    <w:p w:rsidR="00446D52" w:rsidRPr="00AD6B3C" w:rsidRDefault="00446D52" w:rsidP="00446D52">
      <w:pPr>
        <w:contextualSpacing/>
        <w:rPr>
          <w:rFonts w:ascii="Arial" w:eastAsia="Calibri" w:hAnsi="Arial" w:cs="Arial"/>
        </w:rPr>
      </w:pPr>
    </w:p>
    <w:p w:rsidR="00446D52" w:rsidRPr="00AD6B3C" w:rsidRDefault="00446D52" w:rsidP="00446D52">
      <w:pPr>
        <w:contextualSpacing/>
        <w:rPr>
          <w:rFonts w:ascii="Arial" w:eastAsia="Calibri" w:hAnsi="Arial" w:cs="Arial"/>
        </w:rPr>
      </w:pPr>
    </w:p>
    <w:p w:rsidR="009B3E8F" w:rsidRDefault="009B3E8F"/>
    <w:sectPr w:rsidR="009B3E8F" w:rsidSect="007F75A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A0" w:rsidRDefault="007F75A0" w:rsidP="007F75A0">
      <w:pPr>
        <w:spacing w:after="0" w:line="240" w:lineRule="auto"/>
      </w:pPr>
      <w:r>
        <w:separator/>
      </w:r>
    </w:p>
  </w:endnote>
  <w:endnote w:type="continuationSeparator" w:id="0">
    <w:p w:rsidR="007F75A0" w:rsidRDefault="007F75A0" w:rsidP="007F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A0" w:rsidRDefault="007F75A0" w:rsidP="007F75A0">
      <w:pPr>
        <w:spacing w:after="0" w:line="240" w:lineRule="auto"/>
      </w:pPr>
      <w:r>
        <w:separator/>
      </w:r>
    </w:p>
  </w:footnote>
  <w:footnote w:type="continuationSeparator" w:id="0">
    <w:p w:rsidR="007F75A0" w:rsidRDefault="007F75A0" w:rsidP="007F7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A0" w:rsidRDefault="007F75A0">
    <w:pPr>
      <w:pStyle w:val="Header"/>
    </w:pPr>
    <w:r>
      <w:rPr>
        <w:noProof/>
        <w:lang w:eastAsia="en-GB"/>
      </w:rPr>
      <w:drawing>
        <wp:anchor distT="0" distB="0" distL="114300" distR="114300" simplePos="0" relativeHeight="251659264" behindDoc="0" locked="0" layoutInCell="1" allowOverlap="1" wp14:anchorId="3C343AAD" wp14:editId="3ABBC595">
          <wp:simplePos x="0" y="0"/>
          <wp:positionH relativeFrom="page">
            <wp:align>left</wp:align>
          </wp:positionH>
          <wp:positionV relativeFrom="paragraph">
            <wp:posOffset>-450734</wp:posOffset>
          </wp:positionV>
          <wp:extent cx="7607935" cy="2045335"/>
          <wp:effectExtent l="0" t="0" r="0" b="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7935" cy="204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07C"/>
    <w:multiLevelType w:val="hybridMultilevel"/>
    <w:tmpl w:val="777E784E"/>
    <w:lvl w:ilvl="0" w:tplc="A9E425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E11AC"/>
    <w:multiLevelType w:val="hybridMultilevel"/>
    <w:tmpl w:val="6CA2FF98"/>
    <w:lvl w:ilvl="0" w:tplc="C9A2EEA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0"/>
    <w:rsid w:val="001D2D3D"/>
    <w:rsid w:val="00221A97"/>
    <w:rsid w:val="00242AC4"/>
    <w:rsid w:val="00446D52"/>
    <w:rsid w:val="00603DF7"/>
    <w:rsid w:val="00672A26"/>
    <w:rsid w:val="00701364"/>
    <w:rsid w:val="007F75A0"/>
    <w:rsid w:val="008254F0"/>
    <w:rsid w:val="008E1686"/>
    <w:rsid w:val="009B3E8F"/>
    <w:rsid w:val="00B16900"/>
    <w:rsid w:val="00EA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0948"/>
  <w15:chartTrackingRefBased/>
  <w15:docId w15:val="{BBD20877-F5AD-4D1B-9CCB-FC732DB9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A0"/>
  </w:style>
  <w:style w:type="paragraph" w:styleId="Footer">
    <w:name w:val="footer"/>
    <w:basedOn w:val="Normal"/>
    <w:link w:val="FooterChar"/>
    <w:uiPriority w:val="99"/>
    <w:unhideWhenUsed/>
    <w:rsid w:val="007F7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A0"/>
  </w:style>
  <w:style w:type="paragraph" w:styleId="ListParagraph">
    <w:name w:val="List Paragraph"/>
    <w:basedOn w:val="Normal"/>
    <w:uiPriority w:val="34"/>
    <w:qFormat/>
    <w:rsid w:val="0044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Lysette Matthews</dc:creator>
  <cp:keywords/>
  <dc:description/>
  <cp:lastModifiedBy>Susannah Thompson</cp:lastModifiedBy>
  <cp:revision>6</cp:revision>
  <dcterms:created xsi:type="dcterms:W3CDTF">2022-11-17T09:44:00Z</dcterms:created>
  <dcterms:modified xsi:type="dcterms:W3CDTF">2022-12-20T11:31:00Z</dcterms:modified>
</cp:coreProperties>
</file>